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337D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89794C" w:rsidRDefault="00E337DC" w:rsidP="00E337D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337DC" w:rsidRPr="0089794C" w:rsidRDefault="00E337DC" w:rsidP="00E337D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337DC" w:rsidRPr="0089794C" w:rsidRDefault="00E337DC" w:rsidP="00E337D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337DC" w:rsidRPr="0089794C" w:rsidRDefault="003F5DF6" w:rsidP="00E337D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E337DC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E337DC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E33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E337DC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E337DC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E33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  <w:b/>
              </w:rPr>
            </w:pPr>
          </w:p>
          <w:p w:rsidR="00E337DC" w:rsidRDefault="00E337DC" w:rsidP="00E337DC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>
              <w:rPr>
                <w:rFonts w:ascii="Arial" w:eastAsia="Arial Unicode MS" w:hAnsi="Arial" w:cs="Arial"/>
              </w:rPr>
              <w:t>CALIDAD</w:t>
            </w:r>
          </w:p>
          <w:p w:rsidR="00E337DC" w:rsidRPr="00B63259" w:rsidRDefault="00E337DC" w:rsidP="00E337DC">
            <w:pPr>
              <w:jc w:val="both"/>
              <w:rPr>
                <w:rFonts w:ascii="Arial" w:eastAsia="Arial Unicode MS" w:hAnsi="Arial" w:cs="Arial"/>
              </w:rPr>
            </w:pPr>
          </w:p>
          <w:p w:rsidR="00E337DC" w:rsidRDefault="00E337DC" w:rsidP="00E337D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E337DC" w:rsidRDefault="00E337DC" w:rsidP="00E337D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E337DC" w:rsidRPr="00C94E80" w:rsidRDefault="00E337DC" w:rsidP="00E337D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Pr="006366F0" w:rsidRDefault="00E337DC" w:rsidP="00E33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337DC" w:rsidRPr="00694F4E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Default="00E337DC" w:rsidP="00E337D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E337DC" w:rsidRDefault="00E337DC" w:rsidP="00E337DC">
            <w:pPr>
              <w:jc w:val="both"/>
              <w:rPr>
                <w:rFonts w:ascii="Arial" w:hAnsi="Arial" w:cs="Arial"/>
              </w:rPr>
            </w:pPr>
          </w:p>
          <w:p w:rsidR="00E337DC" w:rsidRPr="00300208" w:rsidRDefault="00E337DC" w:rsidP="00E337DC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E4755" w:rsidRDefault="001E475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858C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  <w:b/>
              </w:rPr>
            </w:pPr>
          </w:p>
          <w:p w:rsidR="007858C5" w:rsidRDefault="007858C5" w:rsidP="007858C5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>
              <w:rPr>
                <w:rFonts w:ascii="Arial" w:eastAsia="Arial Unicode MS" w:hAnsi="Arial" w:cs="Arial"/>
              </w:rPr>
              <w:t>NORMAS</w:t>
            </w:r>
          </w:p>
          <w:p w:rsidR="007858C5" w:rsidRPr="00B63259" w:rsidRDefault="007858C5" w:rsidP="007858C5">
            <w:pPr>
              <w:jc w:val="both"/>
              <w:rPr>
                <w:rFonts w:ascii="Arial" w:eastAsia="Arial Unicode MS" w:hAnsi="Arial" w:cs="Arial"/>
              </w:rPr>
            </w:pPr>
          </w:p>
          <w:p w:rsidR="007858C5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858C5" w:rsidRPr="00C94E80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de Requisitos Legales Aplicables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858C5" w:rsidRPr="00694F4E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1E4755" w:rsidRDefault="001E475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00D44" w:rsidRDefault="00800D4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858C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7852FF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7852FF" w:rsidRDefault="007858C5" w:rsidP="007858C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7858C5" w:rsidRPr="007852FF" w:rsidRDefault="007858C5" w:rsidP="007858C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  <w:bCs/>
              </w:rPr>
            </w:pPr>
            <w:r w:rsidRPr="00387C00">
              <w:rPr>
                <w:rFonts w:ascii="Arial" w:hAnsi="Arial" w:cs="Arial"/>
                <w:bCs/>
              </w:rPr>
              <w:t>INFORME ANUAL DE REVISIÓN DEL SGI POR LA DIRECCIÓN</w:t>
            </w:r>
          </w:p>
          <w:p w:rsidR="007858C5" w:rsidRPr="00387C00" w:rsidRDefault="007858C5" w:rsidP="007858C5">
            <w:pPr>
              <w:jc w:val="both"/>
              <w:rPr>
                <w:rFonts w:ascii="Arial" w:hAnsi="Arial" w:cs="Arial"/>
                <w:bCs/>
              </w:rPr>
            </w:pPr>
          </w:p>
          <w:p w:rsidR="007858C5" w:rsidRPr="0013497F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Unificado de Líderes de Proceso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13F64" w:rsidRDefault="007858C5" w:rsidP="007858C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7852FF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7852FF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7852FF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858C5" w:rsidRPr="00300208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858C5" w:rsidRPr="00694F4E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858C5" w:rsidRPr="007852FF" w:rsidRDefault="007858C5" w:rsidP="007858C5">
            <w:pPr>
              <w:jc w:val="both"/>
              <w:rPr>
                <w:rFonts w:ascii="Arial" w:hAnsi="Arial" w:cs="Arial"/>
              </w:rPr>
            </w:pPr>
          </w:p>
        </w:tc>
      </w:tr>
    </w:tbl>
    <w:p w:rsidR="00800D44" w:rsidRDefault="00800D4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E4755" w:rsidRDefault="001E475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858C5" w:rsidRPr="001E4755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  <w:b/>
                <w:bCs/>
              </w:rPr>
            </w:pPr>
            <w:r w:rsidRPr="001E4755">
              <w:rPr>
                <w:rFonts w:ascii="Arial" w:hAnsi="Arial" w:cs="Arial"/>
                <w:b/>
                <w:bCs/>
              </w:rPr>
              <w:t>INFORMES</w:t>
            </w: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  <w:bCs/>
              </w:rPr>
            </w:pPr>
            <w:r w:rsidRPr="001E4755">
              <w:rPr>
                <w:rFonts w:ascii="Arial" w:hAnsi="Arial" w:cs="Arial"/>
                <w:bCs/>
              </w:rPr>
              <w:t>INFORME DE AUDITORÍA INTERNA</w:t>
            </w: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  <w:bCs/>
              </w:rPr>
            </w:pPr>
          </w:p>
          <w:p w:rsidR="007858C5" w:rsidRPr="001E4755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Informes de Auditorías Internas (Anteriores)</w:t>
            </w:r>
          </w:p>
          <w:p w:rsidR="007858C5" w:rsidRPr="001E4755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Informe de Auditorías Externas</w:t>
            </w:r>
          </w:p>
          <w:p w:rsidR="007858C5" w:rsidRPr="001E4755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Lista de Chequeo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Informes se elaboran semestralmente.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Consérvese electrónicamente y con sus respectivos soportes en el Archivo de Gestión, ya que éstos dan fe de la gestión administrativa de la Institución.</w:t>
            </w: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858C5" w:rsidRPr="001E4755" w:rsidRDefault="007858C5" w:rsidP="007858C5">
            <w:pPr>
              <w:jc w:val="both"/>
              <w:rPr>
                <w:rFonts w:ascii="Arial" w:hAnsi="Arial" w:cs="Arial"/>
              </w:rPr>
            </w:pPr>
            <w:r w:rsidRPr="001E4755">
              <w:rPr>
                <w:rFonts w:ascii="Arial" w:hAnsi="Arial" w:cs="Arial"/>
                <w:lang w:val="es-MX"/>
              </w:rPr>
              <w:t>Terminada la retención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 xml:space="preserve">eliminación, </w:t>
            </w:r>
            <w:r w:rsidRPr="001E4755">
              <w:rPr>
                <w:rFonts w:ascii="Arial" w:hAnsi="Arial" w:cs="Arial"/>
                <w:lang w:val="es-MX"/>
              </w:rPr>
              <w:t>ya que la información contenida en éstos queda unificada en el Informe Anual de Revisión del Sistema de Gestión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1E4755">
              <w:rPr>
                <w:rFonts w:ascii="Arial" w:hAnsi="Arial" w:cs="Arial"/>
                <w:lang w:val="es-MX"/>
              </w:rPr>
              <w:t>Integral por parte de la Dirección.</w:t>
            </w:r>
          </w:p>
        </w:tc>
      </w:tr>
    </w:tbl>
    <w:p w:rsidR="001E4755" w:rsidRDefault="001E475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337DC" w:rsidRDefault="00E337D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858C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INFORMES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  <w:b/>
              </w:rPr>
            </w:pPr>
          </w:p>
          <w:p w:rsidR="007858C5" w:rsidRPr="002568F0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INFORME INDICADORES DE GESTIÓN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71645E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71645E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71645E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BC7A55" w:rsidRDefault="007858C5" w:rsidP="007858C5">
            <w:pPr>
              <w:jc w:val="both"/>
              <w:rPr>
                <w:rFonts w:ascii="Arial" w:hAnsi="Arial" w:cs="Arial"/>
              </w:rPr>
            </w:pPr>
            <w:r w:rsidRPr="00BC7A55">
              <w:rPr>
                <w:rFonts w:ascii="Arial" w:hAnsi="Arial" w:cs="Arial"/>
              </w:rPr>
              <w:t>Estos documentos se generan mensualmente para dar cumplimiento las Normas ISO 9001-2015 (Sistema Gestión de la Calidad), ISO 14001-2015 (Sistema de Gestión Ambiental) y ISO 45001-2018 (Sistema de Gestión de la Seguridad y Salud en el Trabajo).</w:t>
            </w:r>
          </w:p>
          <w:p w:rsidR="007858C5" w:rsidRPr="00BC7A5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BC7A55" w:rsidRDefault="007858C5" w:rsidP="007858C5">
            <w:pPr>
              <w:jc w:val="both"/>
              <w:rPr>
                <w:rFonts w:ascii="Arial" w:hAnsi="Arial" w:cs="Arial"/>
              </w:rPr>
            </w:pPr>
            <w:r w:rsidRPr="00BC7A55">
              <w:rPr>
                <w:rFonts w:ascii="Arial" w:hAnsi="Arial" w:cs="Arial"/>
              </w:rPr>
              <w:t>Consérvese y adminístrese en el</w:t>
            </w:r>
            <w:r>
              <w:rPr>
                <w:rFonts w:ascii="Arial" w:hAnsi="Arial" w:cs="Arial"/>
              </w:rPr>
              <w:t xml:space="preserve"> Archivo de Gestión en el</w:t>
            </w:r>
            <w:r w:rsidRPr="00BC7A55">
              <w:rPr>
                <w:rFonts w:ascii="Arial" w:hAnsi="Arial" w:cs="Arial"/>
              </w:rPr>
              <w:t xml:space="preserve"> software POWER BI.</w:t>
            </w:r>
          </w:p>
          <w:p w:rsidR="007858C5" w:rsidRPr="00BC7A5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 w:rsidRPr="00BC7A55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los</w:t>
            </w:r>
            <w:r w:rsidRPr="00BC7A55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BC7A55">
              <w:rPr>
                <w:rFonts w:ascii="Arial" w:hAnsi="Arial" w:cs="Arial"/>
              </w:rPr>
              <w:t xml:space="preserve"> su periodo de retención, proceder a su eliminación.</w:t>
            </w:r>
          </w:p>
        </w:tc>
      </w:tr>
    </w:tbl>
    <w:p w:rsidR="00E337DC" w:rsidRDefault="00E337D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C7A55" w:rsidRDefault="00BC7A5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C7A5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Pr="0089794C" w:rsidRDefault="00BC7A55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BC7A55" w:rsidRPr="0089794C" w:rsidRDefault="00BC7A55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BC7A55" w:rsidRPr="0089794C" w:rsidRDefault="00BC7A55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BC7A55" w:rsidRPr="0089794C" w:rsidRDefault="003F5DF6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2129F9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2129F9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2129F9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2129F9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Pr="00775F71" w:rsidRDefault="00BC7A55" w:rsidP="002129F9">
            <w:pPr>
              <w:jc w:val="both"/>
              <w:rPr>
                <w:rFonts w:ascii="Arial" w:hAnsi="Arial" w:cs="Arial"/>
              </w:rPr>
            </w:pPr>
          </w:p>
          <w:p w:rsidR="00BC7A55" w:rsidRPr="00775F71" w:rsidRDefault="00BC7A55" w:rsidP="002129F9">
            <w:pPr>
              <w:jc w:val="both"/>
              <w:rPr>
                <w:rFonts w:ascii="Arial" w:hAnsi="Arial" w:cs="Arial"/>
                <w:b/>
                <w:bCs/>
              </w:rPr>
            </w:pPr>
            <w:r w:rsidRPr="00775F71">
              <w:rPr>
                <w:rFonts w:ascii="Arial" w:hAnsi="Arial" w:cs="Arial"/>
                <w:b/>
                <w:bCs/>
              </w:rPr>
              <w:t>MANUALES</w:t>
            </w:r>
          </w:p>
          <w:p w:rsidR="00BC7A55" w:rsidRPr="00775F71" w:rsidRDefault="00BC7A55" w:rsidP="002129F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C7A55" w:rsidRDefault="00BC7A55" w:rsidP="002129F9">
            <w:pPr>
              <w:jc w:val="both"/>
              <w:rPr>
                <w:rFonts w:ascii="Arial" w:hAnsi="Arial" w:cs="Arial"/>
                <w:bCs/>
              </w:rPr>
            </w:pPr>
            <w:r w:rsidRPr="00387C00">
              <w:rPr>
                <w:rFonts w:ascii="Arial" w:hAnsi="Arial" w:cs="Arial"/>
                <w:bCs/>
              </w:rPr>
              <w:t>MANUAL DEL SISTEMA DE GESTIÓN INTEGRAL</w:t>
            </w:r>
            <w:r>
              <w:rPr>
                <w:rFonts w:ascii="Arial" w:hAnsi="Arial" w:cs="Arial"/>
                <w:bCs/>
              </w:rPr>
              <w:t xml:space="preserve"> (SGI)</w:t>
            </w:r>
          </w:p>
          <w:p w:rsidR="00BC7A55" w:rsidRPr="00387C00" w:rsidRDefault="00BC7A55" w:rsidP="002129F9">
            <w:pPr>
              <w:jc w:val="both"/>
              <w:rPr>
                <w:rFonts w:ascii="Arial" w:hAnsi="Arial" w:cs="Arial"/>
                <w:bCs/>
              </w:rPr>
            </w:pPr>
          </w:p>
          <w:p w:rsidR="00BC7A55" w:rsidRPr="00775F71" w:rsidRDefault="00BC7A5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75F71">
              <w:rPr>
                <w:rFonts w:ascii="Arial" w:hAnsi="Arial" w:cs="Arial"/>
              </w:rPr>
              <w:t xml:space="preserve">Mapa de </w:t>
            </w:r>
            <w:r>
              <w:rPr>
                <w:rFonts w:ascii="Arial" w:hAnsi="Arial" w:cs="Arial"/>
              </w:rPr>
              <w:t>P</w:t>
            </w:r>
            <w:r w:rsidRPr="00775F71">
              <w:rPr>
                <w:rFonts w:ascii="Arial" w:hAnsi="Arial" w:cs="Arial"/>
              </w:rPr>
              <w:t>rocesos</w:t>
            </w:r>
          </w:p>
          <w:p w:rsidR="00BC7A55" w:rsidRPr="00775F71" w:rsidRDefault="00BC7A5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75F71">
              <w:rPr>
                <w:rFonts w:ascii="Arial" w:hAnsi="Arial" w:cs="Arial"/>
              </w:rPr>
              <w:t>Políticas y Objetivos</w:t>
            </w:r>
          </w:p>
          <w:p w:rsidR="00BC7A55" w:rsidRPr="00775F71" w:rsidRDefault="00BC7A5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75F71">
              <w:rPr>
                <w:rFonts w:ascii="Arial" w:hAnsi="Arial" w:cs="Arial"/>
              </w:rPr>
              <w:t xml:space="preserve">Caracterización del </w:t>
            </w:r>
            <w:r>
              <w:rPr>
                <w:rFonts w:ascii="Arial" w:hAnsi="Arial" w:cs="Arial"/>
              </w:rPr>
              <w:t>P</w:t>
            </w:r>
            <w:r w:rsidRPr="00775F71">
              <w:rPr>
                <w:rFonts w:ascii="Arial" w:hAnsi="Arial" w:cs="Arial"/>
              </w:rPr>
              <w:t>roceso</w:t>
            </w:r>
          </w:p>
          <w:p w:rsidR="00BC7A55" w:rsidRPr="00775F71" w:rsidRDefault="00BC7A5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75F71">
              <w:rPr>
                <w:rFonts w:ascii="Arial" w:hAnsi="Arial" w:cs="Arial"/>
              </w:rPr>
              <w:t>Formatos</w:t>
            </w:r>
          </w:p>
          <w:p w:rsidR="00AC6477" w:rsidRPr="00AC6477" w:rsidRDefault="00BC7A55" w:rsidP="00AC64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75F71">
              <w:rPr>
                <w:rFonts w:ascii="Arial" w:hAnsi="Arial" w:cs="Arial"/>
              </w:rPr>
              <w:t xml:space="preserve">Listado </w:t>
            </w:r>
            <w:r>
              <w:rPr>
                <w:rFonts w:ascii="Arial" w:hAnsi="Arial" w:cs="Arial"/>
              </w:rPr>
              <w:t>M</w:t>
            </w:r>
            <w:r w:rsidRPr="00775F71">
              <w:rPr>
                <w:rFonts w:ascii="Arial" w:hAnsi="Arial" w:cs="Arial"/>
              </w:rPr>
              <w:t xml:space="preserve">aestro de </w:t>
            </w:r>
            <w:r>
              <w:rPr>
                <w:rFonts w:ascii="Arial" w:hAnsi="Arial" w:cs="Arial"/>
              </w:rPr>
              <w:t>R</w:t>
            </w:r>
            <w:r w:rsidRPr="00775F71">
              <w:rPr>
                <w:rFonts w:ascii="Arial" w:hAnsi="Arial" w:cs="Arial"/>
              </w:rPr>
              <w:t>egistros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Default="00BC7A5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Pr="00113F64" w:rsidRDefault="00BC7A55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55" w:rsidRPr="007852FF" w:rsidRDefault="00BC7A55" w:rsidP="002129F9">
            <w:pPr>
              <w:jc w:val="both"/>
              <w:rPr>
                <w:rFonts w:ascii="Arial" w:hAnsi="Arial" w:cs="Arial"/>
              </w:rPr>
            </w:pPr>
          </w:p>
          <w:p w:rsidR="00BC7A55" w:rsidRPr="007852FF" w:rsidRDefault="00BC7A55" w:rsidP="002129F9">
            <w:pPr>
              <w:jc w:val="both"/>
              <w:rPr>
                <w:rFonts w:ascii="Arial" w:hAnsi="Arial" w:cs="Arial"/>
              </w:rPr>
            </w:pPr>
          </w:p>
          <w:p w:rsidR="00BC7A55" w:rsidRPr="007852FF" w:rsidRDefault="00BC7A55" w:rsidP="002129F9">
            <w:pPr>
              <w:jc w:val="both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Manual integra las Normas ISO 9001-2015 (Sistema Gestión de la Calidad), ISO 14001-2015 (Sistema de Gestión Ambiental) y ISO 45001-2018 (</w:t>
            </w:r>
            <w:r w:rsidRPr="00117314">
              <w:rPr>
                <w:rFonts w:ascii="Arial" w:hAnsi="Arial" w:cs="Arial"/>
              </w:rPr>
              <w:t>Sistema de Gestión de la Seguridad y Salud en el Trabajo</w:t>
            </w:r>
            <w:r>
              <w:rPr>
                <w:rFonts w:ascii="Arial" w:hAnsi="Arial" w:cs="Arial"/>
              </w:rPr>
              <w:t>).</w:t>
            </w:r>
          </w:p>
          <w:p w:rsidR="00BC7A55" w:rsidRDefault="00BC7A55" w:rsidP="002129F9">
            <w:pPr>
              <w:jc w:val="both"/>
              <w:rPr>
                <w:rFonts w:ascii="Arial" w:hAnsi="Arial" w:cs="Arial"/>
              </w:rPr>
            </w:pPr>
          </w:p>
          <w:p w:rsidR="00BC7A55" w:rsidRDefault="00BC7A55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</w:t>
            </w:r>
            <w:r w:rsidRPr="009A3A65">
              <w:rPr>
                <w:rFonts w:ascii="Arial" w:hAnsi="Arial" w:cs="Arial"/>
              </w:rPr>
              <w:t xml:space="preserve"> en el </w:t>
            </w:r>
            <w:r>
              <w:rPr>
                <w:rFonts w:ascii="Arial" w:hAnsi="Arial" w:cs="Arial"/>
              </w:rPr>
              <w:t>A</w:t>
            </w:r>
            <w:r w:rsidRPr="009A3A65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A3A65">
              <w:rPr>
                <w:rFonts w:ascii="Arial" w:hAnsi="Arial" w:cs="Arial"/>
              </w:rPr>
              <w:t xml:space="preserve">estión mientras la versión de </w:t>
            </w:r>
            <w:r>
              <w:rPr>
                <w:rFonts w:ascii="Arial" w:hAnsi="Arial" w:cs="Arial"/>
              </w:rPr>
              <w:t>é</w:t>
            </w:r>
            <w:r w:rsidRPr="009A3A65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e s</w:t>
            </w:r>
            <w:r w:rsidRPr="009A3A65">
              <w:rPr>
                <w:rFonts w:ascii="Arial" w:hAnsi="Arial" w:cs="Arial"/>
              </w:rPr>
              <w:t>e encuentre vigente.</w:t>
            </w:r>
          </w:p>
          <w:p w:rsidR="00BC7A55" w:rsidRDefault="00BC7A55" w:rsidP="002129F9">
            <w:pPr>
              <w:jc w:val="both"/>
              <w:rPr>
                <w:rFonts w:ascii="Arial" w:hAnsi="Arial" w:cs="Arial"/>
              </w:rPr>
            </w:pPr>
          </w:p>
          <w:p w:rsidR="00BC7A55" w:rsidRPr="007852FF" w:rsidRDefault="00BC7A55" w:rsidP="00AC6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sus anexos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 </w:t>
            </w:r>
            <w:r w:rsidRPr="006E601B">
              <w:rPr>
                <w:rFonts w:ascii="Arial" w:hAnsi="Arial" w:cs="Arial"/>
              </w:rPr>
              <w:t>por tener valores documentales secundarios</w:t>
            </w:r>
            <w:r w:rsidR="00AC6477">
              <w:rPr>
                <w:rFonts w:ascii="Arial" w:hAnsi="Arial" w:cs="Arial"/>
              </w:rPr>
              <w:t xml:space="preserve">, </w:t>
            </w:r>
            <w:r w:rsidR="00AC6477" w:rsidRPr="009A3A65">
              <w:rPr>
                <w:rFonts w:ascii="Arial" w:hAnsi="Arial" w:cs="Arial"/>
              </w:rPr>
              <w:t>ya que pueden ser fuentes de consulta para profesionales del área</w:t>
            </w:r>
            <w:r w:rsidR="00AC6477">
              <w:rPr>
                <w:rFonts w:ascii="Arial" w:hAnsi="Arial" w:cs="Arial"/>
              </w:rPr>
              <w:t>.</w:t>
            </w:r>
          </w:p>
        </w:tc>
      </w:tr>
    </w:tbl>
    <w:p w:rsidR="00BC7A55" w:rsidRDefault="00BC7A5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00D44" w:rsidRDefault="00800D4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00D44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Pr="0089794C" w:rsidRDefault="00800D44" w:rsidP="002129F9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Pr="0089794C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Pr="0089794C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Pr="00BC7A55" w:rsidRDefault="00800D44" w:rsidP="002129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Default="00800D4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Pr="00113F64" w:rsidRDefault="00800D44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D44" w:rsidRPr="009A3A65" w:rsidRDefault="00800D44" w:rsidP="002129F9">
            <w:pPr>
              <w:jc w:val="both"/>
              <w:rPr>
                <w:rFonts w:ascii="Arial" w:hAnsi="Arial" w:cs="Arial"/>
              </w:rPr>
            </w:pPr>
          </w:p>
          <w:p w:rsidR="00800D44" w:rsidRPr="007852FF" w:rsidRDefault="00800D44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Manual</w:t>
            </w:r>
            <w:r w:rsidRPr="009A3A65">
              <w:rPr>
                <w:rFonts w:ascii="Arial" w:hAnsi="Arial" w:cs="Arial"/>
              </w:rPr>
              <w:t xml:space="preserve"> elaborado en soporte papel, se puede eliminar al concluir el tiempo de retención documental en </w:t>
            </w:r>
            <w:r>
              <w:rPr>
                <w:rFonts w:ascii="Arial" w:hAnsi="Arial" w:cs="Arial"/>
              </w:rPr>
              <w:t>el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A3A65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A3A65">
              <w:rPr>
                <w:rFonts w:ascii="Arial" w:hAnsi="Arial" w:cs="Arial"/>
              </w:rPr>
              <w:t>estión.</w:t>
            </w:r>
          </w:p>
        </w:tc>
      </w:tr>
    </w:tbl>
    <w:p w:rsidR="00800D44" w:rsidRDefault="00800D4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50DF6" w:rsidRDefault="00350DF6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858C5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89794C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350DF6" w:rsidRDefault="007858C5" w:rsidP="007858C5">
            <w:pPr>
              <w:jc w:val="both"/>
              <w:rPr>
                <w:rFonts w:ascii="Arial" w:hAnsi="Arial" w:cs="Arial"/>
                <w:b/>
                <w:bCs/>
              </w:rPr>
            </w:pPr>
            <w:r w:rsidRPr="00350DF6">
              <w:rPr>
                <w:rFonts w:ascii="Arial" w:hAnsi="Arial" w:cs="Arial"/>
                <w:b/>
                <w:bCs/>
              </w:rPr>
              <w:t>PROGRAMAS</w:t>
            </w:r>
          </w:p>
          <w:p w:rsidR="007858C5" w:rsidRPr="00350DF6" w:rsidRDefault="007858C5" w:rsidP="007858C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858C5" w:rsidRPr="00350DF6" w:rsidRDefault="007858C5" w:rsidP="007858C5">
            <w:pPr>
              <w:jc w:val="both"/>
              <w:rPr>
                <w:rFonts w:ascii="Arial" w:hAnsi="Arial" w:cs="Arial"/>
              </w:rPr>
            </w:pPr>
            <w:r w:rsidRPr="00350DF6">
              <w:rPr>
                <w:rFonts w:ascii="Arial" w:hAnsi="Arial" w:cs="Arial"/>
              </w:rPr>
              <w:t>PROGRAMA DE AUDITOR</w:t>
            </w:r>
            <w:r>
              <w:rPr>
                <w:rFonts w:ascii="Arial" w:hAnsi="Arial" w:cs="Arial"/>
              </w:rPr>
              <w:t>Í</w:t>
            </w:r>
            <w:r w:rsidRPr="00350DF6">
              <w:rPr>
                <w:rFonts w:ascii="Arial" w:hAnsi="Arial" w:cs="Arial"/>
              </w:rPr>
              <w:t xml:space="preserve">AS INTERNAS </w:t>
            </w:r>
            <w:r>
              <w:rPr>
                <w:rFonts w:ascii="Arial" w:hAnsi="Arial" w:cs="Arial"/>
              </w:rPr>
              <w:t>SGI</w:t>
            </w:r>
          </w:p>
          <w:p w:rsidR="007858C5" w:rsidRPr="00350DF6" w:rsidRDefault="007858C5" w:rsidP="007858C5">
            <w:pPr>
              <w:ind w:left="344"/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Auditorías</w:t>
            </w:r>
          </w:p>
          <w:p w:rsidR="007858C5" w:rsidRPr="00350DF6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350DF6">
              <w:rPr>
                <w:rFonts w:ascii="Arial" w:hAnsi="Arial" w:cs="Arial"/>
              </w:rPr>
              <w:t>Informes de Auditoría</w:t>
            </w:r>
          </w:p>
          <w:p w:rsidR="007858C5" w:rsidRPr="00350DF6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350DF6">
              <w:rPr>
                <w:rFonts w:ascii="Arial" w:hAnsi="Arial" w:cs="Arial"/>
              </w:rPr>
              <w:t>Evaluación de Auditores</w:t>
            </w:r>
          </w:p>
          <w:p w:rsidR="007858C5" w:rsidRPr="00350DF6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350DF6">
              <w:rPr>
                <w:rFonts w:ascii="Arial" w:hAnsi="Arial" w:cs="Arial"/>
              </w:rPr>
              <w:t>Mapa de Proceso</w:t>
            </w:r>
          </w:p>
          <w:p w:rsidR="007858C5" w:rsidRPr="006366F0" w:rsidRDefault="007858C5" w:rsidP="007858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350DF6">
              <w:rPr>
                <w:rFonts w:ascii="Arial" w:hAnsi="Arial" w:cs="Arial"/>
              </w:rPr>
              <w:t>Caracterización de Procesos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ya que éstos dan fe de la gestión administrativa de la Institución.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>, proceder a su eliminación.</w:t>
            </w: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</w:p>
          <w:p w:rsidR="007858C5" w:rsidRDefault="007858C5" w:rsidP="007858C5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  <w:p w:rsidR="007858C5" w:rsidRPr="006366F0" w:rsidRDefault="007858C5" w:rsidP="007858C5">
            <w:pPr>
              <w:jc w:val="both"/>
              <w:rPr>
                <w:rFonts w:ascii="Arial" w:hAnsi="Arial" w:cs="Arial"/>
              </w:rPr>
            </w:pPr>
          </w:p>
        </w:tc>
      </w:tr>
    </w:tbl>
    <w:p w:rsidR="00350DF6" w:rsidRDefault="00350DF6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C6477" w:rsidRDefault="00AC647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36F28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89794C" w:rsidRDefault="00936F28" w:rsidP="00936F2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6F28" w:rsidRPr="0089794C" w:rsidRDefault="00936F28" w:rsidP="00936F2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6F28" w:rsidRPr="0089794C" w:rsidRDefault="00936F28" w:rsidP="00936F2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6F28" w:rsidRPr="0089794C" w:rsidRDefault="00936F28" w:rsidP="00936F2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89794C" w:rsidRDefault="00936F28" w:rsidP="00936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89794C" w:rsidRDefault="00936F28" w:rsidP="00936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both"/>
              <w:rPr>
                <w:rFonts w:ascii="Arial" w:hAnsi="Arial" w:cs="Arial"/>
              </w:rPr>
            </w:pPr>
          </w:p>
          <w:p w:rsidR="00936F28" w:rsidRPr="00611DF1" w:rsidRDefault="00936F28" w:rsidP="00936F28">
            <w:pPr>
              <w:jc w:val="both"/>
              <w:rPr>
                <w:rFonts w:ascii="Arial" w:hAnsi="Arial" w:cs="Arial"/>
                <w:b/>
                <w:bCs/>
              </w:rPr>
            </w:pPr>
            <w:r w:rsidRPr="00611DF1">
              <w:rPr>
                <w:rFonts w:ascii="Arial" w:hAnsi="Arial" w:cs="Arial"/>
                <w:b/>
                <w:bCs/>
              </w:rPr>
              <w:t>PROGRAMAS</w:t>
            </w:r>
          </w:p>
          <w:p w:rsidR="00936F28" w:rsidRPr="00611DF1" w:rsidRDefault="00936F28" w:rsidP="00936F2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36F28" w:rsidRPr="00611DF1" w:rsidRDefault="00936F28" w:rsidP="00936F28">
            <w:pPr>
              <w:jc w:val="both"/>
              <w:rPr>
                <w:rFonts w:ascii="Arial" w:hAnsi="Arial" w:cs="Arial"/>
              </w:rPr>
            </w:pPr>
            <w:r w:rsidRPr="00611DF1">
              <w:rPr>
                <w:rFonts w:ascii="Arial" w:hAnsi="Arial" w:cs="Arial"/>
              </w:rPr>
              <w:t>PROGRAMA PARA EL MEJORAMIENTO DE LA CALIDAD EN SALUD (PAMEC)</w:t>
            </w:r>
          </w:p>
          <w:p w:rsidR="00936F28" w:rsidRDefault="00936F28" w:rsidP="00936F28">
            <w:pPr>
              <w:ind w:left="344"/>
              <w:jc w:val="both"/>
              <w:rPr>
                <w:rFonts w:ascii="Arial" w:hAnsi="Arial" w:cs="Arial"/>
              </w:rPr>
            </w:pPr>
          </w:p>
          <w:p w:rsidR="00936F28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 y Evaluación del PAMEC</w:t>
            </w:r>
          </w:p>
          <w:p w:rsidR="00936F28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Autoevaluaciones (Resultado de Indicadores)</w:t>
            </w:r>
          </w:p>
          <w:p w:rsidR="00936F28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Tutelas y Quejas</w:t>
            </w:r>
          </w:p>
          <w:p w:rsidR="00936F28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Auditorías Internas y Externas</w:t>
            </w:r>
          </w:p>
          <w:p w:rsidR="00936F28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Visita a IPS</w:t>
            </w:r>
          </w:p>
          <w:p w:rsidR="00936F28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Encuestas de Satisfacción del Usuarios</w:t>
            </w:r>
          </w:p>
          <w:p w:rsidR="00936F28" w:rsidRPr="006366F0" w:rsidRDefault="00936F28" w:rsidP="00936F28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Planes de Mejora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F28" w:rsidRPr="006366F0" w:rsidRDefault="00936F28" w:rsidP="00936F28">
            <w:pPr>
              <w:jc w:val="both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both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both"/>
              <w:rPr>
                <w:rFonts w:ascii="Arial" w:hAnsi="Arial" w:cs="Arial"/>
              </w:rPr>
            </w:pPr>
          </w:p>
          <w:p w:rsidR="00936F28" w:rsidRDefault="00936F28" w:rsidP="00936F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Informe se genera anualmente y de forma electrónica (Archivo TXT) y es cargado en la plataforma SISPRO del Ministerio de Salud, con el propósito de dar cumplimiento a la Circular 0012 de 2016 de la Superintendencia Nacional de Salud.</w:t>
            </w:r>
          </w:p>
          <w:p w:rsidR="00936F28" w:rsidRDefault="00936F28" w:rsidP="00936F28">
            <w:pPr>
              <w:jc w:val="both"/>
              <w:rPr>
                <w:rFonts w:ascii="Arial" w:hAnsi="Arial" w:cs="Arial"/>
              </w:rPr>
            </w:pPr>
          </w:p>
          <w:p w:rsidR="00936F28" w:rsidRPr="006366F0" w:rsidRDefault="00936F28" w:rsidP="00936F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</w:tc>
      </w:tr>
    </w:tbl>
    <w:p w:rsidR="00AC6477" w:rsidRDefault="00AC647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C6477" w:rsidRDefault="00AC6477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C6477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350DF6" w:rsidRDefault="00AC6477" w:rsidP="00350D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477" w:rsidRPr="006366F0" w:rsidRDefault="00AC6477" w:rsidP="002129F9">
            <w:pPr>
              <w:jc w:val="both"/>
              <w:rPr>
                <w:rFonts w:ascii="Arial" w:hAnsi="Arial" w:cs="Arial"/>
              </w:rPr>
            </w:pPr>
          </w:p>
          <w:p w:rsidR="00AC6477" w:rsidRDefault="00AC6477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Pr="006366F0">
              <w:rPr>
                <w:rFonts w:ascii="Arial" w:hAnsi="Arial" w:cs="Arial"/>
              </w:rPr>
              <w:t xml:space="preserve">ya que </w:t>
            </w:r>
            <w:r>
              <w:rPr>
                <w:rFonts w:ascii="Arial" w:hAnsi="Arial" w:cs="Arial"/>
              </w:rPr>
              <w:t>é</w:t>
            </w:r>
            <w:r w:rsidRPr="006366F0">
              <w:rPr>
                <w:rFonts w:ascii="Arial" w:hAnsi="Arial" w:cs="Arial"/>
              </w:rPr>
              <w:t>stos</w:t>
            </w:r>
            <w:r>
              <w:rPr>
                <w:rFonts w:ascii="Arial" w:hAnsi="Arial" w:cs="Arial"/>
              </w:rPr>
              <w:t xml:space="preserve"> </w:t>
            </w:r>
            <w:r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>
              <w:rPr>
                <w:rFonts w:ascii="Arial" w:hAnsi="Arial" w:cs="Arial"/>
              </w:rPr>
              <w:t>.</w:t>
            </w:r>
          </w:p>
          <w:p w:rsidR="00350DF6" w:rsidRDefault="00350DF6" w:rsidP="002129F9">
            <w:pPr>
              <w:jc w:val="both"/>
              <w:rPr>
                <w:rFonts w:ascii="Arial" w:hAnsi="Arial" w:cs="Arial"/>
              </w:rPr>
            </w:pPr>
          </w:p>
          <w:p w:rsidR="00350DF6" w:rsidRDefault="00350DF6" w:rsidP="002129F9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</w:t>
            </w:r>
            <w:r>
              <w:rPr>
                <w:rFonts w:ascii="Arial" w:hAnsi="Arial" w:cs="Arial"/>
              </w:rPr>
              <w:t>el</w:t>
            </w:r>
            <w:r w:rsidRPr="008A5AB7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562CEA">
              <w:rPr>
                <w:rFonts w:ascii="Arial" w:hAnsi="Arial" w:cs="Arial"/>
              </w:rPr>
              <w:t>.</w:t>
            </w:r>
          </w:p>
          <w:p w:rsidR="00AC6477" w:rsidRDefault="00AC6477" w:rsidP="002129F9">
            <w:pPr>
              <w:jc w:val="both"/>
              <w:rPr>
                <w:rFonts w:ascii="Arial" w:hAnsi="Arial" w:cs="Arial"/>
              </w:rPr>
            </w:pPr>
          </w:p>
          <w:p w:rsidR="00AC6477" w:rsidRPr="006366F0" w:rsidRDefault="00AC6477" w:rsidP="002129F9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BC7A55" w:rsidRDefault="00BC7A55" w:rsidP="00800D4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C7A55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EE" w:rsidRDefault="00E608EE">
      <w:r>
        <w:separator/>
      </w:r>
    </w:p>
  </w:endnote>
  <w:endnote w:type="continuationSeparator" w:id="0">
    <w:p w:rsidR="00E608EE" w:rsidRDefault="00E6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38322E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38322E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E608EE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EE" w:rsidRDefault="00E608EE">
      <w:r>
        <w:separator/>
      </w:r>
    </w:p>
  </w:footnote>
  <w:footnote w:type="continuationSeparator" w:id="0">
    <w:p w:rsidR="00E608EE" w:rsidRDefault="00E6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265DB">
            <w:rPr>
              <w:rFonts w:ascii="Arial" w:hAnsi="Arial" w:cs="Arial"/>
              <w:b/>
              <w:bCs/>
              <w:noProof/>
              <w:sz w:val="18"/>
              <w:szCs w:val="18"/>
            </w:rPr>
            <w:t>5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265DB">
            <w:rPr>
              <w:rFonts w:ascii="Arial" w:hAnsi="Arial" w:cs="Arial"/>
              <w:b/>
              <w:bCs/>
              <w:noProof/>
              <w:sz w:val="18"/>
              <w:szCs w:val="18"/>
            </w:rPr>
            <w:t>10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FF03A9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3F5DF6">
            <w:rPr>
              <w:rFonts w:ascii="Arial" w:hAnsi="Arial" w:cs="Arial"/>
            </w:rPr>
            <w:t>45000</w:t>
          </w:r>
          <w:r w:rsidR="00E337DC">
            <w:rPr>
              <w:rFonts w:ascii="Arial" w:hAnsi="Arial" w:cs="Arial"/>
            </w:rPr>
            <w:t xml:space="preserve"> </w:t>
          </w:r>
          <w:r w:rsidR="00FF03A9">
            <w:rPr>
              <w:rFonts w:ascii="Arial" w:hAnsi="Arial" w:cs="Arial"/>
            </w:rPr>
            <w:t>GESTIÓN</w:t>
          </w:r>
          <w:r w:rsidR="00E337DC">
            <w:rPr>
              <w:rFonts w:ascii="Arial" w:hAnsi="Arial" w:cs="Arial"/>
            </w:rPr>
            <w:t xml:space="preserve"> DE CALIDAD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1879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5DB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0BE"/>
    <w:rsid w:val="001E1EF9"/>
    <w:rsid w:val="001E23F6"/>
    <w:rsid w:val="001E4755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241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3E5A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0DF6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643E9"/>
    <w:rsid w:val="00371142"/>
    <w:rsid w:val="003720B5"/>
    <w:rsid w:val="00373AFB"/>
    <w:rsid w:val="00376139"/>
    <w:rsid w:val="003774E6"/>
    <w:rsid w:val="00377922"/>
    <w:rsid w:val="0038035E"/>
    <w:rsid w:val="00380B65"/>
    <w:rsid w:val="0038322E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5F4D"/>
    <w:rsid w:val="003C7677"/>
    <w:rsid w:val="003C7F8B"/>
    <w:rsid w:val="003D2518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5DF6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58C5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0D44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9C1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409C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36F28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254F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6477"/>
    <w:rsid w:val="00AC7A14"/>
    <w:rsid w:val="00AD114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2883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C7A55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7DC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08EE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03A9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3EAB3EE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DA5503-5D65-441B-ADE0-3B466F6EB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91D43-5BBA-47B0-BD0D-9B7334EDA925}"/>
</file>

<file path=customXml/itemProps3.xml><?xml version="1.0" encoding="utf-8"?>
<ds:datastoreItem xmlns:ds="http://schemas.openxmlformats.org/officeDocument/2006/customXml" ds:itemID="{1E471670-F89B-4955-B690-8149C221BF02}"/>
</file>

<file path=customXml/itemProps4.xml><?xml version="1.0" encoding="utf-8"?>
<ds:datastoreItem xmlns:ds="http://schemas.openxmlformats.org/officeDocument/2006/customXml" ds:itemID="{69245932-AE6C-4D5B-A8F9-26EC0C6C3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938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15</cp:revision>
  <cp:lastPrinted>2018-03-20T23:32:00Z</cp:lastPrinted>
  <dcterms:created xsi:type="dcterms:W3CDTF">2018-05-16T17:23:00Z</dcterms:created>
  <dcterms:modified xsi:type="dcterms:W3CDTF">2018-07-13T22:41:00Z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