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45A" w:rsidRDefault="0067045A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7045A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89794C" w:rsidRDefault="0067045A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045A" w:rsidRPr="0089794C" w:rsidRDefault="0067045A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045A" w:rsidRPr="0089794C" w:rsidRDefault="0067045A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7045A" w:rsidRPr="0089794C" w:rsidRDefault="005F677D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367777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367777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36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367777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367777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36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7852FF" w:rsidRDefault="0067045A" w:rsidP="00367777">
            <w:pPr>
              <w:jc w:val="both"/>
              <w:rPr>
                <w:rFonts w:ascii="Arial" w:hAnsi="Arial" w:cs="Arial"/>
              </w:rPr>
            </w:pPr>
          </w:p>
          <w:p w:rsidR="0067045A" w:rsidRPr="007852FF" w:rsidRDefault="0067045A" w:rsidP="00367777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67045A" w:rsidRPr="007852FF" w:rsidRDefault="0067045A" w:rsidP="00367777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67045A" w:rsidRDefault="0067045A" w:rsidP="00367777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67045A" w:rsidRDefault="0067045A" w:rsidP="00367777">
            <w:pPr>
              <w:jc w:val="both"/>
              <w:rPr>
                <w:rFonts w:ascii="Arial" w:hAnsi="Arial" w:cs="Arial"/>
                <w:bCs/>
              </w:rPr>
            </w:pPr>
          </w:p>
          <w:p w:rsidR="0067045A" w:rsidRPr="006A7497" w:rsidRDefault="0067045A" w:rsidP="0067045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Requerimiento</w:t>
            </w:r>
          </w:p>
          <w:p w:rsidR="0067045A" w:rsidRDefault="0067045A" w:rsidP="0067045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 xml:space="preserve">Comunicación </w:t>
            </w:r>
            <w:r>
              <w:rPr>
                <w:rFonts w:ascii="Arial" w:hAnsi="Arial" w:cs="Arial"/>
              </w:rPr>
              <w:t>O</w:t>
            </w:r>
            <w:r w:rsidRPr="006A7497">
              <w:rPr>
                <w:rFonts w:ascii="Arial" w:hAnsi="Arial" w:cs="Arial"/>
              </w:rPr>
              <w:t xml:space="preserve">ficial </w:t>
            </w:r>
            <w:r>
              <w:rPr>
                <w:rFonts w:ascii="Arial" w:hAnsi="Arial" w:cs="Arial"/>
              </w:rPr>
              <w:t>E</w:t>
            </w:r>
            <w:r w:rsidRPr="006A7497">
              <w:rPr>
                <w:rFonts w:ascii="Arial" w:hAnsi="Arial" w:cs="Arial"/>
              </w:rPr>
              <w:t xml:space="preserve">nviada con </w:t>
            </w:r>
            <w:r>
              <w:rPr>
                <w:rFonts w:ascii="Arial" w:hAnsi="Arial" w:cs="Arial"/>
              </w:rPr>
              <w:t>la R</w:t>
            </w:r>
            <w:r w:rsidRPr="006A7497">
              <w:rPr>
                <w:rFonts w:ascii="Arial" w:hAnsi="Arial" w:cs="Arial"/>
              </w:rPr>
              <w:t xml:space="preserve">espectiva </w:t>
            </w:r>
            <w:r>
              <w:rPr>
                <w:rFonts w:ascii="Arial" w:hAnsi="Arial" w:cs="Arial"/>
              </w:rPr>
              <w:t>R</w:t>
            </w:r>
            <w:r w:rsidRPr="006A7497">
              <w:rPr>
                <w:rFonts w:ascii="Arial" w:hAnsi="Arial" w:cs="Arial"/>
              </w:rPr>
              <w:t>espuesta</w:t>
            </w:r>
          </w:p>
          <w:p w:rsidR="0067045A" w:rsidRDefault="0067045A" w:rsidP="0067045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Envío Respuesta por Correo Certificado y/o Correo Electrónico</w:t>
            </w:r>
          </w:p>
          <w:p w:rsidR="0067045A" w:rsidRPr="00441A2E" w:rsidRDefault="0067045A" w:rsidP="0067045A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F7403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7852FF" w:rsidRDefault="0067045A" w:rsidP="00367777">
            <w:pPr>
              <w:jc w:val="both"/>
              <w:rPr>
                <w:rFonts w:ascii="Arial" w:hAnsi="Arial" w:cs="Arial"/>
              </w:rPr>
            </w:pPr>
          </w:p>
          <w:p w:rsidR="0067045A" w:rsidRPr="007852FF" w:rsidRDefault="0067045A" w:rsidP="00367777">
            <w:pPr>
              <w:jc w:val="both"/>
              <w:rPr>
                <w:rFonts w:ascii="Arial" w:hAnsi="Arial" w:cs="Arial"/>
              </w:rPr>
            </w:pPr>
          </w:p>
          <w:p w:rsidR="0067045A" w:rsidRPr="007852FF" w:rsidRDefault="0067045A" w:rsidP="00367777">
            <w:pPr>
              <w:jc w:val="both"/>
              <w:rPr>
                <w:rFonts w:ascii="Arial" w:hAnsi="Arial" w:cs="Arial"/>
              </w:rPr>
            </w:pPr>
          </w:p>
          <w:p w:rsidR="0067045A" w:rsidRDefault="0067045A" w:rsidP="00367777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física y </w:t>
            </w:r>
            <w:r w:rsidRPr="00441A2E">
              <w:rPr>
                <w:rFonts w:ascii="Arial" w:hAnsi="Arial" w:cs="Arial"/>
              </w:rPr>
              <w:t>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67045A" w:rsidRDefault="0067045A" w:rsidP="00367777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7045A" w:rsidRDefault="0067045A" w:rsidP="0036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67045A" w:rsidRDefault="0067045A" w:rsidP="00367777">
            <w:pPr>
              <w:jc w:val="both"/>
              <w:rPr>
                <w:rFonts w:ascii="Arial" w:hAnsi="Arial" w:cs="Arial"/>
              </w:rPr>
            </w:pPr>
          </w:p>
          <w:p w:rsidR="0067045A" w:rsidRPr="007852FF" w:rsidRDefault="0067045A" w:rsidP="0036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67045A" w:rsidRDefault="0067045A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7045A" w:rsidRDefault="0067045A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>INFORME A ENTE DE INSPECCIÓN, VIGILANCIA Y CONTROL</w:t>
            </w:r>
            <w:r>
              <w:rPr>
                <w:rFonts w:ascii="Arial" w:hAnsi="Arial" w:cs="Arial"/>
                <w:bCs/>
              </w:rPr>
              <w:t xml:space="preserve"> (IVC)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bCs/>
              </w:rPr>
            </w:pP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</w:t>
            </w:r>
          </w:p>
          <w:p w:rsidR="00DE4071" w:rsidRPr="006A7497" w:rsidRDefault="00DE4071" w:rsidP="00DE407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de Carga Exitosa a Portal ADRES</w:t>
            </w:r>
          </w:p>
          <w:p w:rsidR="00DE4071" w:rsidRPr="00B4397D" w:rsidRDefault="00DE4071" w:rsidP="00DE407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E04EF">
              <w:rPr>
                <w:rFonts w:ascii="Arial" w:hAnsi="Arial" w:cs="Arial"/>
              </w:rPr>
              <w:t>Formulario Único de Afiliación y Registro de Novedades (FUARN)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046EDD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046EDD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046EDD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046EDD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046EDD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046EDD" w:rsidRDefault="00DE4071" w:rsidP="00DE4071">
            <w:pPr>
              <w:jc w:val="both"/>
              <w:rPr>
                <w:rFonts w:ascii="Arial" w:hAnsi="Arial" w:cs="Arial"/>
              </w:rPr>
            </w:pPr>
            <w:r w:rsidRPr="00046EDD">
              <w:rPr>
                <w:rFonts w:ascii="Arial" w:hAnsi="Arial" w:cs="Arial"/>
              </w:rPr>
              <w:t xml:space="preserve">Este documento se genera bimensualmente y de forma </w:t>
            </w:r>
            <w:r>
              <w:rPr>
                <w:rFonts w:ascii="Arial" w:hAnsi="Arial" w:cs="Arial"/>
              </w:rPr>
              <w:t>electrónica</w:t>
            </w:r>
            <w:r w:rsidRPr="00046EDD">
              <w:rPr>
                <w:rFonts w:ascii="Arial" w:hAnsi="Arial" w:cs="Arial"/>
              </w:rPr>
              <w:t>, para dar cumplimiento al Decreto 780 de 2016 del Ministerio de Salud y Protección Social.</w:t>
            </w:r>
          </w:p>
          <w:p w:rsidR="00DE4071" w:rsidRPr="00046EDD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046EDD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Luego de cargada la información electrónicamente en la plataforma ADRES (</w:t>
            </w:r>
            <w:r w:rsidRPr="00FA4E78">
              <w:rPr>
                <w:rFonts w:ascii="Arial" w:hAnsi="Arial" w:cs="Arial"/>
              </w:rPr>
              <w:t>Administradora de los Recursos del Sistema General de Seguridad Social en Salud</w:t>
            </w:r>
            <w:r>
              <w:rPr>
                <w:rFonts w:ascii="Arial" w:hAnsi="Arial" w:cs="Arial"/>
              </w:rPr>
              <w:t>) del Ministerio de Salud, c</w:t>
            </w:r>
            <w:r w:rsidRPr="00046EDD">
              <w:rPr>
                <w:rFonts w:ascii="Arial" w:hAnsi="Arial" w:cs="Arial"/>
              </w:rPr>
              <w:t>onsérvese</w:t>
            </w:r>
            <w:r>
              <w:rPr>
                <w:rFonts w:ascii="Arial" w:hAnsi="Arial" w:cs="Arial"/>
              </w:rPr>
              <w:t xml:space="preserve"> una copia </w:t>
            </w:r>
            <w:r w:rsidRPr="00046EDD">
              <w:rPr>
                <w:rFonts w:ascii="Arial" w:hAnsi="Arial" w:cs="Arial"/>
              </w:rPr>
              <w:t>electrónicamente en el Archivo de Gestión</w:t>
            </w:r>
            <w:r w:rsidRPr="00046EDD">
              <w:rPr>
                <w:rFonts w:ascii="Arial" w:hAnsi="Arial" w:cs="Arial"/>
                <w:lang w:val="es-MX"/>
              </w:rPr>
              <w:t xml:space="preserve">, </w:t>
            </w:r>
            <w:r w:rsidRPr="00046EDD">
              <w:rPr>
                <w:rFonts w:ascii="Arial" w:hAnsi="Arial" w:cs="Arial"/>
              </w:rPr>
              <w:t>ya que éstos dan fe de la gestión administrativa de la Institución</w:t>
            </w:r>
            <w:r w:rsidRPr="00046EDD">
              <w:rPr>
                <w:rFonts w:ascii="Arial" w:hAnsi="Arial" w:cs="Arial"/>
                <w:lang w:val="es-MX"/>
              </w:rPr>
              <w:t>.</w:t>
            </w:r>
          </w:p>
          <w:p w:rsidR="00DE4071" w:rsidRPr="00046EDD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4071" w:rsidRPr="00046EDD" w:rsidRDefault="00DE4071" w:rsidP="00DE4071">
            <w:pPr>
              <w:jc w:val="both"/>
              <w:rPr>
                <w:rFonts w:ascii="Arial" w:hAnsi="Arial" w:cs="Arial"/>
              </w:rPr>
            </w:pPr>
            <w:r w:rsidRPr="00046EDD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</w:tc>
      </w:tr>
    </w:tbl>
    <w:p w:rsidR="0067045A" w:rsidRDefault="0067045A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7045A" w:rsidRDefault="0067045A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7045A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89794C" w:rsidRDefault="0067045A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89794C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89794C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BB632B" w:rsidRDefault="0067045A" w:rsidP="0036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046EDD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046EDD" w:rsidRDefault="0067045A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045A" w:rsidRPr="00046EDD" w:rsidRDefault="0067045A" w:rsidP="00367777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67045A" w:rsidRPr="00046EDD" w:rsidRDefault="0067045A" w:rsidP="00367777">
            <w:pPr>
              <w:jc w:val="both"/>
              <w:rPr>
                <w:rFonts w:ascii="Arial" w:hAnsi="Arial" w:cs="Arial"/>
              </w:rPr>
            </w:pPr>
            <w:r w:rsidRPr="00046EDD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67045A" w:rsidRPr="00046EDD" w:rsidRDefault="0067045A" w:rsidP="00367777">
            <w:pPr>
              <w:jc w:val="both"/>
              <w:rPr>
                <w:rFonts w:ascii="Arial" w:hAnsi="Arial" w:cs="Arial"/>
              </w:rPr>
            </w:pPr>
          </w:p>
          <w:p w:rsidR="0067045A" w:rsidRPr="00046EDD" w:rsidRDefault="0067045A" w:rsidP="00367777">
            <w:pPr>
              <w:jc w:val="both"/>
              <w:rPr>
                <w:rFonts w:ascii="Arial" w:hAnsi="Arial" w:cs="Arial"/>
              </w:rPr>
            </w:pPr>
            <w:r w:rsidRPr="00046EDD">
              <w:rPr>
                <w:rFonts w:ascii="Arial" w:hAnsi="Arial" w:cs="Arial"/>
              </w:rPr>
              <w:t>Al cumplir el documento físico y electrónico su periodo de retención en el Archivo de Gestión, proceder a su eliminación.</w:t>
            </w:r>
          </w:p>
        </w:tc>
      </w:tr>
    </w:tbl>
    <w:p w:rsidR="0067045A" w:rsidRDefault="0067045A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C7C5B" w:rsidRDefault="003C7C5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ADMINISTRATIVO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bCs/>
              </w:rPr>
            </w:pPr>
          </w:p>
          <w:p w:rsidR="00DE4071" w:rsidRPr="00B4397D" w:rsidRDefault="00DE4071" w:rsidP="00DE407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7045A">
              <w:rPr>
                <w:rFonts w:ascii="Arial" w:hAnsi="Arial" w:cs="Arial"/>
              </w:rPr>
              <w:t>Verificación de Entrega de la Carta de Deberes y Derechos del SGSS y la Carta de Desempeño a los Afiliados de COOSALUD EPS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113F64" w:rsidRDefault="00DE4071" w:rsidP="00DE407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Informe se elaboran trimestralmente para ser enviado al Departamento de Aseguramiento de la Dirección General, para dar cumplimiento a la Resolución 968 de 2016 del Ministerio de salud y Protección Social.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3C7C5B" w:rsidRDefault="003C7C5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B3DAD" w:rsidRDefault="007B3DAD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300208" w:rsidTr="00DC1A0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ED0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D0899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b/>
              </w:rPr>
            </w:pPr>
          </w:p>
          <w:p w:rsidR="00DE4071" w:rsidRDefault="00DE4071" w:rsidP="00DE4071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PREFACTURA LIQUIDACIÓN MENSUAL DE AFILIADOS (LMA) CAPITADOS</w:t>
            </w:r>
          </w:p>
          <w:p w:rsidR="00DE4071" w:rsidRDefault="00DE4071" w:rsidP="00DE4071">
            <w:pPr>
              <w:jc w:val="both"/>
              <w:rPr>
                <w:rFonts w:ascii="Arial" w:eastAsia="Arial Unicode MS" w:hAnsi="Arial" w:cs="Arial"/>
              </w:rPr>
            </w:pPr>
          </w:p>
          <w:p w:rsidR="00DE4071" w:rsidRPr="007B3DAD" w:rsidRDefault="00DE4071" w:rsidP="00DE407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proofErr w:type="spellStart"/>
            <w:r w:rsidRPr="009434CA">
              <w:rPr>
                <w:rFonts w:ascii="Arial" w:hAnsi="Arial" w:cs="Arial"/>
              </w:rPr>
              <w:t>Prefactura</w:t>
            </w:r>
            <w:proofErr w:type="spellEnd"/>
            <w:r w:rsidRPr="009434CA">
              <w:rPr>
                <w:rFonts w:ascii="Arial" w:hAnsi="Arial" w:cs="Arial"/>
              </w:rPr>
              <w:t xml:space="preserve"> Radicada</w:t>
            </w: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de Personal Capitado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para ser radicado en las IPS de cada municipio, con las cuales hay firmados Contratos con la Institución, para la prestación de servicios de salud.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una copia física </w:t>
            </w:r>
            <w:r w:rsidRPr="00441A2E">
              <w:rPr>
                <w:rFonts w:ascii="Arial" w:hAnsi="Arial" w:cs="Arial"/>
              </w:rPr>
              <w:t>y 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B3DAD" w:rsidRDefault="007B3DAD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B6161" w:rsidRDefault="002B616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ED0899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9154C0" w:rsidRDefault="00DE4071" w:rsidP="00DE40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 DE CONTROL</w:t>
            </w:r>
          </w:p>
          <w:p w:rsidR="00DE4071" w:rsidRPr="00D6255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D62551">
              <w:rPr>
                <w:rFonts w:ascii="Arial" w:hAnsi="Arial" w:cs="Arial"/>
              </w:rPr>
              <w:t>SOLICITUD TRASLADO DE USUARIOS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bCs/>
              </w:rPr>
            </w:pP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Asignación, Disolución o Liquidación de una EPS</w:t>
            </w: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Único de Afiliación y Registro de Novedades (FUARN)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Clínica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Tutelas y/ Procesos Jurídicos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 a Formulario de Inscripción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Asignación Población Pobre No Asegurada</w:t>
            </w: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 Administrativo Entidad Territorial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</w:t>
            </w: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os</w:t>
            </w:r>
            <w:r w:rsidRPr="006D2D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Informes </w:t>
            </w:r>
            <w:r w:rsidRPr="006D2D4C">
              <w:rPr>
                <w:rFonts w:ascii="Arial" w:hAnsi="Arial" w:cs="Arial"/>
              </w:rPr>
              <w:t>se genera</w:t>
            </w:r>
            <w:r>
              <w:rPr>
                <w:rFonts w:ascii="Arial" w:hAnsi="Arial" w:cs="Arial"/>
              </w:rPr>
              <w:t xml:space="preserve"> mensualmente para ser radicado electrónicamente en la plataforma ADRES (</w:t>
            </w:r>
            <w:r w:rsidRPr="00FA4E78">
              <w:rPr>
                <w:rFonts w:ascii="Arial" w:hAnsi="Arial" w:cs="Arial"/>
              </w:rPr>
              <w:t>Administradora de los Recursos del Sistema General de Seguridad Social en Salud</w:t>
            </w:r>
            <w:r>
              <w:rPr>
                <w:rFonts w:ascii="Arial" w:hAnsi="Arial" w:cs="Arial"/>
              </w:rPr>
              <w:t>) del Ministerio de Salud, informando del traslado de usuarios entre Sucursales y EPS, de acuerdo con el Decreto 2228 de 2017 del Ministerio de Salud y Seguridad Social.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una copia física </w:t>
            </w:r>
            <w:r w:rsidRPr="00441A2E">
              <w:rPr>
                <w:rFonts w:ascii="Arial" w:hAnsi="Arial" w:cs="Arial"/>
              </w:rPr>
              <w:t>y 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2B6161" w:rsidRDefault="002B616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B6161" w:rsidRDefault="002B616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B6161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89794C" w:rsidRDefault="002B6161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89794C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89794C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F57604" w:rsidRDefault="002B6161" w:rsidP="00AA69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Default="002B6161" w:rsidP="00367777">
            <w:pPr>
              <w:jc w:val="both"/>
              <w:rPr>
                <w:rFonts w:ascii="Arial" w:hAnsi="Arial"/>
                <w:lang w:val="es-CO"/>
              </w:rPr>
            </w:pPr>
          </w:p>
          <w:p w:rsidR="002B6161" w:rsidRPr="007852FF" w:rsidRDefault="002B6161" w:rsidP="0036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2B6161" w:rsidRDefault="002B616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5784E" w:rsidRDefault="00A5784E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ED0899" w:rsidP="00892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9154C0" w:rsidRDefault="00DE4071" w:rsidP="00DE40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E4071" w:rsidRPr="00D6255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D62551">
              <w:rPr>
                <w:rFonts w:ascii="Arial" w:hAnsi="Arial" w:cs="Arial"/>
              </w:rPr>
              <w:t>SOLICITUD USUARIO</w:t>
            </w:r>
            <w:r>
              <w:rPr>
                <w:rFonts w:ascii="Arial" w:hAnsi="Arial" w:cs="Arial"/>
              </w:rPr>
              <w:t xml:space="preserve"> CONTRIBUTIVO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Pago Incapacidad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Clínica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Epicrisis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Transcripción de Incapacidad</w:t>
            </w:r>
          </w:p>
          <w:p w:rsidR="00DE4071" w:rsidRPr="00A83C07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Certificación Bancaria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o</w:t>
            </w:r>
            <w:r w:rsidRPr="006D2D4C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>s</w:t>
            </w:r>
            <w:r w:rsidRPr="006D2D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 reciben en cada una de las Sucursales de la Institución, para dar cumplimiento a la Resolución 968 de 2016 del Ministerio de Salud y Protección Social.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Archivo de Gestión procede a su digitalización, y luego remite los documentos originales y electrónicos al Departamento de Aseguramiento de la Dirección General para su respectivo trámite.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una copia física y electrónicamente </w:t>
            </w:r>
            <w:r w:rsidRPr="00300208">
              <w:rPr>
                <w:rFonts w:ascii="Arial" w:hAnsi="Arial" w:cs="Arial"/>
              </w:rPr>
              <w:t>en el Archivo de Gestión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A5784E" w:rsidRDefault="00A5784E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3648D" w:rsidRDefault="0033648D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3648D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89794C" w:rsidRDefault="0033648D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89794C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89794C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3648D" w:rsidRDefault="0033648D" w:rsidP="003364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Default="0033648D" w:rsidP="00367777">
            <w:pPr>
              <w:jc w:val="both"/>
              <w:rPr>
                <w:rFonts w:ascii="Arial" w:hAnsi="Arial"/>
                <w:lang w:val="es-CO"/>
              </w:rPr>
            </w:pPr>
          </w:p>
          <w:p w:rsidR="0033648D" w:rsidRDefault="0033648D" w:rsidP="0036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</w:t>
            </w:r>
          </w:p>
          <w:p w:rsidR="0033648D" w:rsidRDefault="0033648D" w:rsidP="00367777">
            <w:pPr>
              <w:jc w:val="both"/>
              <w:rPr>
                <w:rFonts w:ascii="Arial" w:hAnsi="Arial" w:cs="Arial"/>
              </w:rPr>
            </w:pPr>
          </w:p>
          <w:p w:rsidR="0033648D" w:rsidRPr="007852FF" w:rsidRDefault="0033648D" w:rsidP="0036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33648D" w:rsidRDefault="0033648D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F6274" w:rsidRDefault="00AF6274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DC0EC4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ED0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D0899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b/>
              </w:rPr>
            </w:pPr>
          </w:p>
          <w:p w:rsidR="00DE4071" w:rsidRPr="00685AA4" w:rsidRDefault="00DE4071" w:rsidP="00DE4071">
            <w:pPr>
              <w:jc w:val="both"/>
              <w:rPr>
                <w:rFonts w:ascii="Arial" w:hAnsi="Arial" w:cs="Arial"/>
              </w:rPr>
            </w:pPr>
            <w:r w:rsidRPr="00994C6C">
              <w:rPr>
                <w:rFonts w:ascii="Arial" w:eastAsia="Arial Unicode MS" w:hAnsi="Arial" w:cs="Arial"/>
              </w:rPr>
              <w:t>VERIFICACIÓN DE ENTREGA DE LA CARTA DE DEBERES Y DERECHOS DEL S</w:t>
            </w:r>
            <w:r>
              <w:rPr>
                <w:rFonts w:ascii="Arial" w:eastAsia="Arial Unicode MS" w:hAnsi="Arial" w:cs="Arial"/>
                <w:lang w:val="es-419"/>
              </w:rPr>
              <w:t xml:space="preserve">ISTEMA </w:t>
            </w:r>
            <w:r w:rsidRPr="00994C6C">
              <w:rPr>
                <w:rFonts w:ascii="Arial" w:eastAsia="Arial Unicode MS" w:hAnsi="Arial" w:cs="Arial"/>
              </w:rPr>
              <w:t>G</w:t>
            </w:r>
            <w:r>
              <w:rPr>
                <w:rFonts w:ascii="Arial" w:eastAsia="Arial Unicode MS" w:hAnsi="Arial" w:cs="Arial"/>
                <w:lang w:val="es-419"/>
              </w:rPr>
              <w:t xml:space="preserve">ENERAL DE </w:t>
            </w:r>
            <w:r w:rsidRPr="00994C6C">
              <w:rPr>
                <w:rFonts w:ascii="Arial" w:eastAsia="Arial Unicode MS" w:hAnsi="Arial" w:cs="Arial"/>
              </w:rPr>
              <w:t>S</w:t>
            </w:r>
            <w:r>
              <w:rPr>
                <w:rFonts w:ascii="Arial" w:eastAsia="Arial Unicode MS" w:hAnsi="Arial" w:cs="Arial"/>
                <w:lang w:val="es-419"/>
              </w:rPr>
              <w:t xml:space="preserve">EGURIDAD </w:t>
            </w:r>
            <w:r w:rsidRPr="00994C6C">
              <w:rPr>
                <w:rFonts w:ascii="Arial" w:eastAsia="Arial Unicode MS" w:hAnsi="Arial" w:cs="Arial"/>
              </w:rPr>
              <w:t>S</w:t>
            </w:r>
            <w:r>
              <w:rPr>
                <w:rFonts w:ascii="Arial" w:eastAsia="Arial Unicode MS" w:hAnsi="Arial" w:cs="Arial"/>
                <w:lang w:val="es-419"/>
              </w:rPr>
              <w:t>OCIAL (SGSS)</w:t>
            </w:r>
            <w:r w:rsidRPr="00994C6C">
              <w:rPr>
                <w:rFonts w:ascii="Arial" w:eastAsia="Arial Unicode MS" w:hAnsi="Arial" w:cs="Arial"/>
              </w:rPr>
              <w:t xml:space="preserve"> Y LA CARTA DE DESEMPEÑO A LOS AFILIADOS DE COOSALUD EPS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561B49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046EDD" w:rsidRDefault="00DE4071" w:rsidP="00DE4071">
            <w:pPr>
              <w:jc w:val="both"/>
              <w:rPr>
                <w:rFonts w:ascii="Arial" w:hAnsi="Arial" w:cs="Arial"/>
              </w:rPr>
            </w:pPr>
            <w:r w:rsidRPr="00046EDD">
              <w:rPr>
                <w:rFonts w:ascii="Arial" w:hAnsi="Arial" w:cs="Arial"/>
              </w:rPr>
              <w:t>Este documento se genera para dar cumplimiento a</w:t>
            </w:r>
            <w:r>
              <w:rPr>
                <w:rFonts w:ascii="Arial" w:hAnsi="Arial" w:cs="Arial"/>
              </w:rPr>
              <w:t xml:space="preserve"> </w:t>
            </w:r>
            <w:r w:rsidRPr="00046EDD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os</w:t>
            </w:r>
            <w:r w:rsidRPr="00046EDD">
              <w:rPr>
                <w:rFonts w:ascii="Arial" w:hAnsi="Arial" w:cs="Arial"/>
              </w:rPr>
              <w:t xml:space="preserve"> Decreto</w:t>
            </w:r>
            <w:r>
              <w:rPr>
                <w:rFonts w:ascii="Arial" w:hAnsi="Arial" w:cs="Arial"/>
              </w:rPr>
              <w:t>s</w:t>
            </w:r>
            <w:r w:rsidRPr="00046E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2353 de 2015 y </w:t>
            </w:r>
            <w:r w:rsidRPr="00046EDD">
              <w:rPr>
                <w:rFonts w:ascii="Arial" w:hAnsi="Arial" w:cs="Arial"/>
              </w:rPr>
              <w:t xml:space="preserve">780 de 2016 </w:t>
            </w:r>
            <w:r>
              <w:rPr>
                <w:rFonts w:ascii="Arial" w:hAnsi="Arial" w:cs="Arial"/>
              </w:rPr>
              <w:t xml:space="preserve">y a la Resolución 768 de 2018 </w:t>
            </w:r>
            <w:r w:rsidRPr="00046EDD">
              <w:rPr>
                <w:rFonts w:ascii="Arial" w:hAnsi="Arial" w:cs="Arial"/>
              </w:rPr>
              <w:t>del Ministerio de Salud y Protección Social.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el documento original física y electrónicamente en el Historial de Afiliado Régimen Subsidiado.</w:t>
            </w:r>
          </w:p>
        </w:tc>
      </w:tr>
    </w:tbl>
    <w:p w:rsidR="00E64803" w:rsidRDefault="00E64803" w:rsidP="0033648D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E64803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AD4" w:rsidRDefault="005D7AD4">
      <w:r>
        <w:separator/>
      </w:r>
    </w:p>
  </w:endnote>
  <w:endnote w:type="continuationSeparator" w:id="0">
    <w:p w:rsidR="005D7AD4" w:rsidRDefault="005D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C5B" w:rsidRDefault="00D45C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D45C5B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bookmarkStart w:id="0" w:name="_GoBack"/>
          <w:bookmarkEnd w:id="0"/>
          <w:r w:rsidR="00D45C5B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5D7AD4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C5B" w:rsidRDefault="00D45C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AD4" w:rsidRDefault="005D7AD4">
      <w:r>
        <w:separator/>
      </w:r>
    </w:p>
  </w:footnote>
  <w:footnote w:type="continuationSeparator" w:id="0">
    <w:p w:rsidR="005D7AD4" w:rsidRDefault="005D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32B2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32B2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0E25C3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 w:rsidR="000E25C3">
            <w:rPr>
              <w:rFonts w:ascii="Arial" w:hAnsi="Arial" w:cs="Arial"/>
            </w:rPr>
            <w:t>JURÍDICA</w:t>
          </w:r>
          <w:r>
            <w:rPr>
              <w:rFonts w:ascii="Arial" w:hAnsi="Arial" w:cs="Arial"/>
            </w:rPr>
            <w:t xml:space="preserve">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19285E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5F677D">
            <w:rPr>
              <w:rFonts w:ascii="Arial" w:hAnsi="Arial" w:cs="Arial"/>
            </w:rPr>
            <w:t>92000</w:t>
          </w:r>
          <w:r w:rsidR="000E25C3">
            <w:rPr>
              <w:rFonts w:ascii="Arial" w:hAnsi="Arial" w:cs="Arial"/>
            </w:rPr>
            <w:t xml:space="preserve"> </w:t>
          </w:r>
          <w:r w:rsidR="0019285E">
            <w:rPr>
              <w:rFonts w:ascii="Arial" w:hAnsi="Arial" w:cs="Arial"/>
            </w:rPr>
            <w:t>ASEGURAMIENTO</w:t>
          </w:r>
          <w:r w:rsidR="00AF6274">
            <w:rPr>
              <w:rFonts w:ascii="Arial" w:hAnsi="Arial" w:cs="Arial"/>
            </w:rPr>
            <w:t xml:space="preserve"> </w:t>
          </w:r>
          <w:r w:rsidR="001F7510">
            <w:rPr>
              <w:rFonts w:ascii="Arial" w:hAnsi="Arial" w:cs="Arial"/>
              <w:lang w:val="es-CO" w:eastAsia="es-CO"/>
            </w:rPr>
            <w:t>(SUCURSAL)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C5B" w:rsidRDefault="00D45C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46EDD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1FB1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25C3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2DD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85E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13E4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1F7510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2B21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161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3648D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0A5"/>
    <w:rsid w:val="00371142"/>
    <w:rsid w:val="003720B5"/>
    <w:rsid w:val="003738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C5B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045E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D7AD4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231"/>
    <w:rsid w:val="005F5A01"/>
    <w:rsid w:val="005F677D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5B1"/>
    <w:rsid w:val="00662BD9"/>
    <w:rsid w:val="00664375"/>
    <w:rsid w:val="00665819"/>
    <w:rsid w:val="00666C3B"/>
    <w:rsid w:val="00667EBB"/>
    <w:rsid w:val="00667F37"/>
    <w:rsid w:val="00670131"/>
    <w:rsid w:val="0067045A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96F4A"/>
    <w:rsid w:val="006A0CDF"/>
    <w:rsid w:val="006A0F45"/>
    <w:rsid w:val="006A3458"/>
    <w:rsid w:val="006A6EF2"/>
    <w:rsid w:val="006B0162"/>
    <w:rsid w:val="006B1D2D"/>
    <w:rsid w:val="006B52F0"/>
    <w:rsid w:val="006B5A37"/>
    <w:rsid w:val="006B7097"/>
    <w:rsid w:val="006C198B"/>
    <w:rsid w:val="006C51F7"/>
    <w:rsid w:val="006C6B95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4A5B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3DA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C8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4DF4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2370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5143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8F6604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3C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5784E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7678D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A6985"/>
    <w:rsid w:val="00AB0DBF"/>
    <w:rsid w:val="00AB3CFB"/>
    <w:rsid w:val="00AB5164"/>
    <w:rsid w:val="00AC04C1"/>
    <w:rsid w:val="00AC1075"/>
    <w:rsid w:val="00AC2F0F"/>
    <w:rsid w:val="00AC318E"/>
    <w:rsid w:val="00AC7A14"/>
    <w:rsid w:val="00AD4478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6274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645C2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0ADA"/>
    <w:rsid w:val="00BB20A1"/>
    <w:rsid w:val="00BB2F3E"/>
    <w:rsid w:val="00BB521C"/>
    <w:rsid w:val="00BB612F"/>
    <w:rsid w:val="00BB632B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0BC8"/>
    <w:rsid w:val="00C01A06"/>
    <w:rsid w:val="00C022EF"/>
    <w:rsid w:val="00C11ECF"/>
    <w:rsid w:val="00C12735"/>
    <w:rsid w:val="00C12F2E"/>
    <w:rsid w:val="00C14F9A"/>
    <w:rsid w:val="00C15854"/>
    <w:rsid w:val="00C20323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3736"/>
    <w:rsid w:val="00C94577"/>
    <w:rsid w:val="00C94E80"/>
    <w:rsid w:val="00C95482"/>
    <w:rsid w:val="00C97FE7"/>
    <w:rsid w:val="00CA2FDF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06D3A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5C5B"/>
    <w:rsid w:val="00D47B77"/>
    <w:rsid w:val="00D53C16"/>
    <w:rsid w:val="00D545DE"/>
    <w:rsid w:val="00D55F32"/>
    <w:rsid w:val="00D57DE4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071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4803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0899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8C7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B6DDC3-9E57-4A78-97AF-F668995F8E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7DE456-62F3-4FA2-9602-321341FACF68}"/>
</file>

<file path=customXml/itemProps3.xml><?xml version="1.0" encoding="utf-8"?>
<ds:datastoreItem xmlns:ds="http://schemas.openxmlformats.org/officeDocument/2006/customXml" ds:itemID="{BC5685C7-D4A7-4C38-AE66-FD813F275997}"/>
</file>

<file path=customXml/itemProps4.xml><?xml version="1.0" encoding="utf-8"?>
<ds:datastoreItem xmlns:ds="http://schemas.openxmlformats.org/officeDocument/2006/customXml" ds:itemID="{CA58E56F-DDC3-45E5-B61A-45C3DD8617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896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23</cp:revision>
  <cp:lastPrinted>2018-03-20T23:32:00Z</cp:lastPrinted>
  <dcterms:created xsi:type="dcterms:W3CDTF">2018-05-21T15:04:00Z</dcterms:created>
  <dcterms:modified xsi:type="dcterms:W3CDTF">2018-07-16T13:10:00Z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